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7970E" w14:textId="77777777" w:rsidR="009F5470" w:rsidRDefault="009F5470"/>
    <w:p w14:paraId="7D6AE4B3" w14:textId="77777777" w:rsidR="00BE30D9" w:rsidRPr="008A43BF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14:paraId="08D4A775" w14:textId="77777777" w:rsidR="00EB140C" w:rsidRPr="00EB140C" w:rsidRDefault="00EB140C" w:rsidP="00EB140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B140C">
        <w:rPr>
          <w:rFonts w:ascii="Times New Roman" w:hAnsi="Times New Roman" w:cs="Times New Roman"/>
          <w:bCs/>
          <w:sz w:val="24"/>
          <w:szCs w:val="24"/>
        </w:rPr>
        <w:t xml:space="preserve">All specimens not exempt from pathology examination must be submitted to the pathology department for gross/macroscopic examination. A microscopic examination of these specimens will be performed whenever there is a request by the </w:t>
      </w:r>
      <w:r w:rsidR="007347A6">
        <w:rPr>
          <w:rFonts w:ascii="Times New Roman" w:hAnsi="Times New Roman" w:cs="Times New Roman"/>
          <w:bCs/>
          <w:sz w:val="24"/>
          <w:szCs w:val="24"/>
        </w:rPr>
        <w:t>clinici</w:t>
      </w:r>
      <w:r w:rsidRPr="00EB140C">
        <w:rPr>
          <w:rFonts w:ascii="Times New Roman" w:hAnsi="Times New Roman" w:cs="Times New Roman"/>
          <w:bCs/>
          <w:sz w:val="24"/>
          <w:szCs w:val="24"/>
        </w:rPr>
        <w:t>an or when the pathologist determines a microscopic examination is indicated after gross specimen examination. A diagnostic report will be issued from all cases submitted to the pathology laboratory for examination.</w:t>
      </w:r>
    </w:p>
    <w:p w14:paraId="6128F3DE" w14:textId="77777777" w:rsidR="00853819" w:rsidRPr="00AD2D3A" w:rsidRDefault="003F0E8F" w:rsidP="008538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policy may also act as a reference guide for accessioners.</w:t>
      </w:r>
      <w:r w:rsidR="003B6787">
        <w:rPr>
          <w:rFonts w:ascii="Times New Roman" w:hAnsi="Times New Roman" w:cs="Times New Roman"/>
          <w:sz w:val="24"/>
          <w:szCs w:val="24"/>
        </w:rPr>
        <w:t xml:space="preserve"> All cases deemed as gross examination are signed out by the assigned Pathologist.</w:t>
      </w:r>
    </w:p>
    <w:p w14:paraId="7B20669C" w14:textId="77777777" w:rsidR="00B90A51" w:rsidRPr="008A43BF" w:rsidRDefault="00E05C0F" w:rsidP="00E05C0F">
      <w:pPr>
        <w:tabs>
          <w:tab w:val="left" w:pos="29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50D5C25" w14:textId="77777777" w:rsidR="00092F9F" w:rsidRDefault="00092F9F" w:rsidP="00092F9F">
      <w:pPr>
        <w:spacing w:after="12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Applicable Staff</w:t>
      </w:r>
    </w:p>
    <w:p w14:paraId="0C94B975" w14:textId="77777777" w:rsidR="00092F9F" w:rsidRDefault="00853819" w:rsidP="0085381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Accessioners</w:t>
      </w:r>
    </w:p>
    <w:p w14:paraId="409B71F4" w14:textId="77777777" w:rsidR="0031595B" w:rsidRDefault="0031595B" w:rsidP="0085381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Pathologist Assistants and Residents</w:t>
      </w:r>
    </w:p>
    <w:p w14:paraId="266F7D2D" w14:textId="77777777" w:rsidR="003B6787" w:rsidRDefault="003B6787" w:rsidP="0085381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Pathologists</w:t>
      </w:r>
    </w:p>
    <w:p w14:paraId="1E21F187" w14:textId="77777777" w:rsidR="00853819" w:rsidRPr="00853819" w:rsidRDefault="00853819" w:rsidP="00853819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73B9B24" w14:textId="77777777" w:rsidR="00B90A51" w:rsidRPr="008A43BF" w:rsidRDefault="00D86639" w:rsidP="00092F9F">
      <w:pPr>
        <w:spacing w:after="12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Policy</w:t>
      </w:r>
    </w:p>
    <w:p w14:paraId="64BB7869" w14:textId="77777777" w:rsidR="00853819" w:rsidRPr="00853819" w:rsidRDefault="00853819" w:rsidP="0085381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819">
        <w:rPr>
          <w:rFonts w:ascii="Times New Roman" w:hAnsi="Times New Roman" w:cs="Times New Roman"/>
          <w:b/>
          <w:sz w:val="24"/>
          <w:szCs w:val="24"/>
          <w:u w:val="single"/>
        </w:rPr>
        <w:t>Definitions</w:t>
      </w:r>
    </w:p>
    <w:p w14:paraId="0707472A" w14:textId="77777777" w:rsidR="00853819" w:rsidRPr="00A75529" w:rsidRDefault="00853819" w:rsidP="008538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5529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 xml:space="preserve">gross only </w:t>
      </w:r>
      <w:r w:rsidRPr="00A75529">
        <w:rPr>
          <w:rFonts w:ascii="Times New Roman" w:hAnsi="Times New Roman" w:cs="Times New Roman"/>
          <w:sz w:val="24"/>
          <w:szCs w:val="24"/>
        </w:rPr>
        <w:t>= tissue that is examined grossly with no sections submitted for microscopic examination</w:t>
      </w:r>
    </w:p>
    <w:p w14:paraId="3D41C2C4" w14:textId="77777777" w:rsidR="00853819" w:rsidRPr="00AD2D3A" w:rsidRDefault="00853819" w:rsidP="00853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D9AF00" w14:textId="77777777" w:rsidR="00853819" w:rsidRPr="00853819" w:rsidRDefault="00853819" w:rsidP="0085381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3819">
        <w:rPr>
          <w:rFonts w:ascii="Times New Roman" w:hAnsi="Times New Roman" w:cs="Times New Roman"/>
          <w:b/>
          <w:sz w:val="24"/>
          <w:szCs w:val="24"/>
          <w:u w:val="single"/>
        </w:rPr>
        <w:t>Standards</w:t>
      </w:r>
    </w:p>
    <w:p w14:paraId="201B45A7" w14:textId="77777777" w:rsidR="00853819" w:rsidRPr="0031595B" w:rsidRDefault="00853819" w:rsidP="00853819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595B">
        <w:rPr>
          <w:rFonts w:ascii="Times New Roman" w:eastAsiaTheme="minorEastAsia" w:hAnsi="Times New Roman" w:cs="Times New Roman"/>
          <w:sz w:val="24"/>
          <w:szCs w:val="24"/>
        </w:rPr>
        <w:t xml:space="preserve">Tissue that is submitted as gross examination only should be documented in the pathology report as such. </w:t>
      </w:r>
      <w:r w:rsidR="0031595B" w:rsidRPr="0031595B">
        <w:rPr>
          <w:rFonts w:ascii="Times New Roman" w:eastAsiaTheme="minorEastAsia" w:hAnsi="Times New Roman" w:cs="Times New Roman"/>
          <w:sz w:val="24"/>
          <w:szCs w:val="24"/>
        </w:rPr>
        <w:t xml:space="preserve">The grosser may opt to submit tissue for histological examination based on findings when grossing the specimen. </w:t>
      </w:r>
      <w:r w:rsidRPr="0031595B">
        <w:rPr>
          <w:rFonts w:ascii="Times New Roman" w:eastAsiaTheme="minorEastAsia" w:hAnsi="Times New Roman" w:cs="Times New Roman"/>
          <w:sz w:val="24"/>
          <w:szCs w:val="24"/>
        </w:rPr>
        <w:t>The categories of specimens that may be submitted as gross include, but are not limited to:</w:t>
      </w:r>
    </w:p>
    <w:p w14:paraId="514BE96A" w14:textId="77777777" w:rsidR="00C85427" w:rsidRPr="00AC546F" w:rsidRDefault="00C85427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 xml:space="preserve">Accessory digits </w:t>
      </w:r>
    </w:p>
    <w:p w14:paraId="684667DD" w14:textId="77777777" w:rsidR="00C85427" w:rsidRPr="00806A66" w:rsidRDefault="00C85427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Removal of extra digit(s)- </w:t>
      </w:r>
      <w:r w:rsidRPr="00806A66">
        <w:rPr>
          <w:rFonts w:ascii="Times New Roman" w:eastAsia="Times New Roman" w:hAnsi="Times New Roman" w:cs="Times New Roman"/>
          <w:sz w:val="24"/>
          <w:szCs w:val="24"/>
        </w:rPr>
        <w:t>common congenital digital anomaly of the hand called polydactyly</w:t>
      </w:r>
      <w:r w:rsidR="00002C29">
        <w:rPr>
          <w:rFonts w:ascii="Times New Roman" w:eastAsia="Times New Roman" w:hAnsi="Times New Roman" w:cs="Times New Roman"/>
          <w:sz w:val="24"/>
          <w:szCs w:val="24"/>
        </w:rPr>
        <w:t xml:space="preserve"> or supernumerary digit</w:t>
      </w:r>
      <w:r w:rsidRPr="00806A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00B79C0" w14:textId="77777777" w:rsidR="00C85427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06A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 w:rsidRPr="00806A66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  <w:r w:rsidRPr="00806A66">
        <w:rPr>
          <w:rFonts w:ascii="Times New Roman" w:eastAsia="Times New Roman" w:hAnsi="Times New Roman" w:cs="Times New Roman"/>
          <w:i/>
          <w:sz w:val="24"/>
          <w:szCs w:val="24"/>
        </w:rPr>
        <w:t>enlarged/hypertrophic</w:t>
      </w:r>
      <w:r w:rsidR="00002C29">
        <w:rPr>
          <w:rFonts w:ascii="Times New Roman" w:eastAsia="Times New Roman" w:hAnsi="Times New Roman" w:cs="Times New Roman"/>
          <w:i/>
          <w:sz w:val="24"/>
          <w:szCs w:val="24"/>
        </w:rPr>
        <w:t xml:space="preserve"> digits</w:t>
      </w:r>
      <w:r w:rsidRPr="00806A66">
        <w:rPr>
          <w:rFonts w:ascii="Times New Roman" w:eastAsia="Times New Roman" w:hAnsi="Times New Roman" w:cs="Times New Roman"/>
          <w:i/>
          <w:sz w:val="24"/>
          <w:szCs w:val="24"/>
        </w:rPr>
        <w:t xml:space="preserve"> from pediatric cases </w:t>
      </w:r>
    </w:p>
    <w:p w14:paraId="034AAD3F" w14:textId="77777777" w:rsidR="003F0E8F" w:rsidRDefault="003F0E8F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2E4EBFA" w14:textId="77777777" w:rsidR="00EB140C" w:rsidRDefault="00EB140C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33DC878" w14:textId="77777777" w:rsidR="00EB140C" w:rsidRPr="00806A66" w:rsidRDefault="00EB140C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4404442" w14:textId="77777777" w:rsidR="00C85427" w:rsidRPr="00AC546F" w:rsidRDefault="00C85427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Cardiac Heart valves </w:t>
      </w:r>
      <w:r w:rsidR="00806A66">
        <w:rPr>
          <w:rFonts w:ascii="Times New Roman" w:eastAsia="Times New Roman" w:hAnsi="Times New Roman" w:cs="Times New Roman"/>
          <w:b/>
          <w:sz w:val="24"/>
          <w:szCs w:val="24"/>
        </w:rPr>
        <w:t>and leaflets</w:t>
      </w:r>
    </w:p>
    <w:p w14:paraId="60879FAC" w14:textId="77777777" w:rsidR="00C85427" w:rsidRPr="00AC546F" w:rsidRDefault="00C85427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>All cardiac heart valves</w:t>
      </w:r>
      <w:r w:rsidR="00806A66">
        <w:rPr>
          <w:rFonts w:ascii="Times New Roman" w:eastAsia="Times New Roman" w:hAnsi="Times New Roman" w:cs="Times New Roman"/>
          <w:sz w:val="24"/>
          <w:szCs w:val="24"/>
        </w:rPr>
        <w:t xml:space="preserve"> that mention stenosis</w:t>
      </w: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 from adult cases</w:t>
      </w:r>
      <w:r w:rsidR="00806A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057874" w14:textId="77777777" w:rsidR="00C85427" w:rsidRP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- valves with vegetation’s (bacterial growth causing an infection) </w:t>
      </w:r>
    </w:p>
    <w:p w14:paraId="42EAD45B" w14:textId="77777777" w:rsidR="00806A66" w:rsidRP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>- valves from patients with history of endocarditis</w:t>
      </w:r>
    </w:p>
    <w:p w14:paraId="45E17535" w14:textId="77777777" w:rsidR="00806A66" w:rsidRPr="0031595B" w:rsidRDefault="00806A66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>- cases that mention regurgitation</w:t>
      </w:r>
    </w:p>
    <w:p w14:paraId="755A5D66" w14:textId="77777777" w:rsidR="00C85427" w:rsidRPr="0031595B" w:rsidRDefault="00806A66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>- aorta, aortic dissection</w:t>
      </w:r>
      <w:r w:rsidR="00C85427"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26BE0885" w14:textId="77777777" w:rsidR="00C85427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- all tissue from pediatric heart valves </w:t>
      </w:r>
    </w:p>
    <w:p w14:paraId="63599089" w14:textId="77777777" w:rsidR="003F0E8F" w:rsidRDefault="003F0E8F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E0AB6C6" w14:textId="77777777" w:rsidR="00C85427" w:rsidRPr="00AC546F" w:rsidRDefault="00C85427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 xml:space="preserve">Femoral heads and articular surfaces of knee joints </w:t>
      </w:r>
    </w:p>
    <w:p w14:paraId="7C12D66B" w14:textId="77777777" w:rsidR="00C85427" w:rsidRPr="00AC546F" w:rsidRDefault="00C85427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Removed for degenerative joint disease </w:t>
      </w:r>
    </w:p>
    <w:p w14:paraId="79B8B6E3" w14:textId="77777777" w:rsidR="00C85427" w:rsidRPr="00AC546F" w:rsidRDefault="00C85427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Gross description must include examination for features of avascular necrosis </w:t>
      </w:r>
    </w:p>
    <w:p w14:paraId="3E4D1195" w14:textId="77777777" w:rsidR="00C85427" w:rsidRP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femoral heads or other bone fragments submitted from</w:t>
      </w:r>
    </w:p>
    <w:p w14:paraId="2DA8695B" w14:textId="77777777" w:rsidR="00C85427" w:rsidRPr="0031595B" w:rsidRDefault="00C85427" w:rsidP="00C85427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>Fracture sites</w:t>
      </w:r>
    </w:p>
    <w:p w14:paraId="30DE94F0" w14:textId="77777777" w:rsidR="0031595B" w:rsidRDefault="00C85427" w:rsidP="00C85427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>Diseases other than degenerative joint disease</w:t>
      </w:r>
      <w:r w:rsid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(DJD)</w:t>
      </w:r>
    </w:p>
    <w:p w14:paraId="66047C99" w14:textId="77777777" w:rsidR="00C85427" w:rsidRPr="0031595B" w:rsidRDefault="0031595B" w:rsidP="00C85427">
      <w:pPr>
        <w:numPr>
          <w:ilvl w:val="3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Avascular necrosis (AVN)</w:t>
      </w:r>
      <w:r w:rsidR="00C85427"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</w:p>
    <w:p w14:paraId="552CE960" w14:textId="77777777" w:rsidR="00C85427" w:rsidRPr="00AC546F" w:rsidRDefault="00C85427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 xml:space="preserve">Grafts </w:t>
      </w:r>
    </w:p>
    <w:p w14:paraId="3701E204" w14:textId="77777777" w:rsidR="00C85427" w:rsidRPr="00AC546F" w:rsidRDefault="004561DA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61DA">
        <w:rPr>
          <w:rFonts w:ascii="Times New Roman" w:eastAsia="Times New Roman" w:hAnsi="Times New Roman" w:cs="Times New Roman"/>
          <w:b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5427" w:rsidRPr="00AC546F">
        <w:rPr>
          <w:rFonts w:ascii="Times New Roman" w:eastAsia="Times New Roman" w:hAnsi="Times New Roman" w:cs="Times New Roman"/>
          <w:sz w:val="24"/>
          <w:szCs w:val="24"/>
        </w:rPr>
        <w:t xml:space="preserve">Excess bone and split thickness skin grafts </w:t>
      </w:r>
    </w:p>
    <w:p w14:paraId="5E487AA2" w14:textId="77777777" w:rsidR="00C85427" w:rsidRP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grafts with tissue present </w:t>
      </w:r>
    </w:p>
    <w:p w14:paraId="1D95881F" w14:textId="77777777" w:rsid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grafts used in recipient sites</w:t>
      </w:r>
    </w:p>
    <w:p w14:paraId="0C93DCFD" w14:textId="77777777" w:rsidR="00C85427" w:rsidRDefault="0031595B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grafts that mention infection</w:t>
      </w:r>
      <w:r w:rsidR="00C85427"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F919394" w14:textId="77777777" w:rsidR="003F0E8F" w:rsidRPr="0031595B" w:rsidRDefault="003F0E8F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ED75B0D" w14:textId="77777777" w:rsidR="00C85427" w:rsidRPr="00AC546F" w:rsidRDefault="00C85427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 xml:space="preserve">Hernias (pediatric patients) </w:t>
      </w:r>
    </w:p>
    <w:p w14:paraId="16CCC3BD" w14:textId="77777777" w:rsidR="00C85427" w:rsidRPr="00AC546F" w:rsidRDefault="00C85427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All inguinal hernias from patients under 18 years of age </w:t>
      </w:r>
    </w:p>
    <w:p w14:paraId="487DDE1C" w14:textId="77777777" w:rsidR="00C85427" w:rsidRP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- inguinal hernias where a gross abnormality is identified </w:t>
      </w:r>
    </w:p>
    <w:p w14:paraId="1FBEB7B5" w14:textId="77777777" w:rsidR="00C85427" w:rsidRP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- inguinal hernias from patients over the age of 18 </w:t>
      </w:r>
    </w:p>
    <w:p w14:paraId="729A64EE" w14:textId="77777777" w:rsidR="00C85427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- pediatric hernias that are not </w:t>
      </w:r>
      <w:r w:rsidRPr="0031595B">
        <w:rPr>
          <w:rFonts w:ascii="Times New Roman" w:eastAsia="Times New Roman" w:hAnsi="Times New Roman" w:cs="Times New Roman"/>
          <w:b/>
          <w:i/>
          <w:sz w:val="24"/>
          <w:szCs w:val="24"/>
        </w:rPr>
        <w:t>inguinal hernias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81EF7EC" w14:textId="77777777" w:rsidR="003F0E8F" w:rsidRPr="0031595B" w:rsidRDefault="003F0E8F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719DD25" w14:textId="77777777" w:rsidR="00C85427" w:rsidRPr="00AC546F" w:rsidRDefault="00C85427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>Hernias (adult patients)</w:t>
      </w:r>
    </w:p>
    <w:p w14:paraId="4645A810" w14:textId="77777777" w:rsidR="00C85427" w:rsidRPr="00AC546F" w:rsidRDefault="00C85427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All hernias are exempt from microscopic evaluation </w:t>
      </w:r>
    </w:p>
    <w:p w14:paraId="794D3C8F" w14:textId="77777777" w:rsidR="00C85427" w:rsidRPr="0031595B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- inguinal hernia sacs from patients over 18 years of age </w:t>
      </w:r>
    </w:p>
    <w:p w14:paraId="2319367B" w14:textId="77777777" w:rsidR="00C85427" w:rsidRDefault="00C85427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Pr="0031595B">
        <w:rPr>
          <w:rFonts w:ascii="Times New Roman" w:eastAsia="Times New Roman" w:hAnsi="Times New Roman" w:cs="Times New Roman"/>
          <w:i/>
          <w:sz w:val="24"/>
          <w:szCs w:val="24"/>
        </w:rPr>
        <w:t xml:space="preserve">- hernias where a gross abnormality is identified  </w:t>
      </w:r>
    </w:p>
    <w:p w14:paraId="194BE254" w14:textId="77777777" w:rsidR="003F0E8F" w:rsidRPr="0031595B" w:rsidRDefault="003F0E8F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F367B99" w14:textId="77777777" w:rsidR="00AC546F" w:rsidRPr="00AC546F" w:rsidRDefault="00AC546F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 xml:space="preserve">Pannus or fatty apron </w:t>
      </w:r>
    </w:p>
    <w:p w14:paraId="38305035" w14:textId="77777777" w:rsidR="00AC546F" w:rsidRDefault="00AC546F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sz w:val="24"/>
          <w:szCs w:val="24"/>
        </w:rPr>
        <w:t>Pannus- sheet of fatty tissue that hangs down in front of the intestines as a protective cushion</w:t>
      </w:r>
      <w:r w:rsidR="003159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81E0DD" w14:textId="77777777" w:rsidR="003B6787" w:rsidRDefault="003B6787" w:rsidP="003B6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9C4F70" w14:textId="77777777" w:rsidR="00C85427" w:rsidRPr="00AC546F" w:rsidRDefault="00C85427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 xml:space="preserve">Plaque specimens </w:t>
      </w:r>
    </w:p>
    <w:p w14:paraId="64A0244C" w14:textId="77777777" w:rsidR="0031595B" w:rsidRDefault="00C85427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595B">
        <w:rPr>
          <w:rFonts w:ascii="Times New Roman" w:eastAsia="Times New Roman" w:hAnsi="Times New Roman" w:cs="Times New Roman"/>
          <w:sz w:val="24"/>
          <w:szCs w:val="24"/>
        </w:rPr>
        <w:t>All atherosclerotic plaque specimens – the buildup of fats, cholesterol and other substances in and on your artery walls (plaque)</w:t>
      </w:r>
      <w:r w:rsidR="00315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9D62AE" w14:textId="77777777" w:rsidR="00C85427" w:rsidRDefault="0031595B" w:rsidP="0031595B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vascular wall, thrombus, or plaque with attached blood vessel.</w:t>
      </w:r>
      <w:r w:rsidR="00C85427" w:rsidRPr="003159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DFA82C" w14:textId="77777777" w:rsidR="003F0E8F" w:rsidRPr="0031595B" w:rsidRDefault="003F0E8F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6D43564E" w14:textId="7E5A9BAB" w:rsidR="00C85427" w:rsidRPr="003F0E8F" w:rsidRDefault="009F4ECE" w:rsidP="003F0E8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 explant</w:t>
      </w:r>
      <w:r w:rsidR="0033162A">
        <w:rPr>
          <w:rFonts w:ascii="Times New Roman" w:eastAsia="Times New Roman" w:hAnsi="Times New Roman" w:cs="Times New Roman"/>
          <w:b/>
          <w:sz w:val="24"/>
          <w:szCs w:val="24"/>
        </w:rPr>
        <w:t>ed devices</w:t>
      </w:r>
    </w:p>
    <w:p w14:paraId="4B52E2A0" w14:textId="77777777" w:rsidR="00C85427" w:rsidRDefault="00C85427" w:rsidP="00C8542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3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="00D7338B" w:rsidRPr="00D7338B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002C29">
        <w:rPr>
          <w:rFonts w:ascii="Times New Roman" w:eastAsia="Times New Roman" w:hAnsi="Times New Roman" w:cs="Times New Roman"/>
          <w:i/>
          <w:sz w:val="24"/>
          <w:szCs w:val="24"/>
        </w:rPr>
        <w:t xml:space="preserve">infection with attached tissue or </w:t>
      </w:r>
      <w:r w:rsidR="003B6787">
        <w:rPr>
          <w:rFonts w:ascii="Times New Roman" w:eastAsia="Times New Roman" w:hAnsi="Times New Roman" w:cs="Times New Roman"/>
          <w:i/>
          <w:sz w:val="24"/>
          <w:szCs w:val="24"/>
        </w:rPr>
        <w:t>valves;</w:t>
      </w:r>
      <w:r w:rsidR="00D7338B" w:rsidRPr="00D733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7338B">
        <w:rPr>
          <w:rFonts w:ascii="Times New Roman" w:eastAsia="Times New Roman" w:hAnsi="Times New Roman" w:cs="Times New Roman"/>
          <w:i/>
          <w:sz w:val="24"/>
          <w:szCs w:val="24"/>
        </w:rPr>
        <w:t>patches and grafts from pediatric patients</w:t>
      </w:r>
      <w:r w:rsidR="009F4ECE">
        <w:rPr>
          <w:rFonts w:ascii="Times New Roman" w:eastAsia="Times New Roman" w:hAnsi="Times New Roman" w:cs="Times New Roman"/>
          <w:i/>
          <w:sz w:val="24"/>
          <w:szCs w:val="24"/>
        </w:rPr>
        <w:t>; vaginal mesh with attached tissue.</w:t>
      </w:r>
      <w:r w:rsidRPr="00D733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5CCEA5E" w14:textId="77777777" w:rsidR="003F0E8F" w:rsidRDefault="003F0E8F" w:rsidP="00C8542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147F49C" w14:textId="77777777" w:rsidR="00E13A09" w:rsidRPr="00D7338B" w:rsidRDefault="00E13A09" w:rsidP="00C85427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07FE40F" w14:textId="77777777" w:rsidR="00AC546F" w:rsidRPr="00E13A09" w:rsidRDefault="00AC546F" w:rsidP="00E13A0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3A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Toenails</w:t>
      </w:r>
    </w:p>
    <w:p w14:paraId="655CCFB1" w14:textId="77777777" w:rsidR="00AC546F" w:rsidRPr="00AC546F" w:rsidRDefault="00AC546F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From ingrown nail or traumatic avulsion </w:t>
      </w:r>
    </w:p>
    <w:p w14:paraId="349894A4" w14:textId="77777777" w:rsidR="00AC546F" w:rsidRPr="00D7338B" w:rsidRDefault="00AC546F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3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="00D7338B" w:rsidRPr="00D733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 w:rsidRPr="00D7338B">
        <w:rPr>
          <w:rFonts w:ascii="Times New Roman" w:eastAsia="Times New Roman" w:hAnsi="Times New Roman" w:cs="Times New Roman"/>
          <w:i/>
          <w:sz w:val="24"/>
          <w:szCs w:val="24"/>
        </w:rPr>
        <w:t xml:space="preserve"> nails in which a special stain has been requested</w:t>
      </w:r>
    </w:p>
    <w:p w14:paraId="5C8B1B29" w14:textId="77777777" w:rsidR="00AC546F" w:rsidRPr="00D7338B" w:rsidRDefault="00AC546F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3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</w:t>
      </w:r>
      <w:r w:rsidR="00D7338B" w:rsidRPr="00D733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</w:t>
      </w:r>
      <w:r w:rsidRPr="00D7338B">
        <w:rPr>
          <w:rFonts w:ascii="Times New Roman" w:eastAsia="Times New Roman" w:hAnsi="Times New Roman" w:cs="Times New Roman"/>
          <w:i/>
          <w:sz w:val="24"/>
          <w:szCs w:val="24"/>
        </w:rPr>
        <w:t xml:space="preserve"> nails that have any skin or soft tissue attached</w:t>
      </w:r>
    </w:p>
    <w:p w14:paraId="5F9DEDF3" w14:textId="77777777" w:rsidR="00D7338B" w:rsidRDefault="00D7338B" w:rsidP="00C85427">
      <w:pPr>
        <w:numPr>
          <w:ilvl w:val="2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7338B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Excluding-</w:t>
      </w:r>
      <w:r w:rsidRPr="00D7338B">
        <w:rPr>
          <w:rFonts w:ascii="Times New Roman" w:eastAsia="Times New Roman" w:hAnsi="Times New Roman" w:cs="Times New Roman"/>
          <w:i/>
          <w:sz w:val="24"/>
          <w:szCs w:val="24"/>
        </w:rPr>
        <w:t xml:space="preserve"> nails for </w:t>
      </w:r>
      <w:r w:rsidR="00002C29">
        <w:rPr>
          <w:rFonts w:ascii="Times New Roman" w:eastAsia="Times New Roman" w:hAnsi="Times New Roman" w:cs="Times New Roman"/>
          <w:i/>
          <w:sz w:val="24"/>
          <w:szCs w:val="24"/>
        </w:rPr>
        <w:t>fungus/</w:t>
      </w:r>
      <w:r w:rsidRPr="00D7338B">
        <w:rPr>
          <w:rFonts w:ascii="Times New Roman" w:eastAsia="Times New Roman" w:hAnsi="Times New Roman" w:cs="Times New Roman"/>
          <w:i/>
          <w:sz w:val="24"/>
          <w:szCs w:val="24"/>
        </w:rPr>
        <w:t>onchomycosis</w:t>
      </w:r>
      <w:r w:rsidR="00E13A09">
        <w:rPr>
          <w:rFonts w:ascii="Times New Roman" w:eastAsia="Times New Roman" w:hAnsi="Times New Roman" w:cs="Times New Roman"/>
          <w:i/>
          <w:sz w:val="24"/>
          <w:szCs w:val="24"/>
        </w:rPr>
        <w:t>, pigmented streaks</w:t>
      </w:r>
      <w:r w:rsidRPr="00D7338B">
        <w:rPr>
          <w:rFonts w:ascii="Times New Roman" w:eastAsia="Times New Roman" w:hAnsi="Times New Roman" w:cs="Times New Roman"/>
          <w:i/>
          <w:sz w:val="24"/>
          <w:szCs w:val="24"/>
        </w:rPr>
        <w:t xml:space="preserve"> or discoloration</w:t>
      </w:r>
    </w:p>
    <w:p w14:paraId="48BE7F5C" w14:textId="77777777" w:rsidR="003F0E8F" w:rsidRPr="00D7338B" w:rsidRDefault="003F0E8F" w:rsidP="003F0E8F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F28BE78" w14:textId="77777777" w:rsidR="00AC546F" w:rsidRPr="00AC546F" w:rsidRDefault="00AC546F" w:rsidP="00C8542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b/>
          <w:sz w:val="24"/>
          <w:szCs w:val="24"/>
        </w:rPr>
        <w:t>Traumatic amputations</w:t>
      </w:r>
    </w:p>
    <w:p w14:paraId="691FD776" w14:textId="77777777" w:rsidR="00AC546F" w:rsidRDefault="00AC546F" w:rsidP="00C85427">
      <w:pPr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546F">
        <w:rPr>
          <w:rFonts w:ascii="Times New Roman" w:eastAsia="Times New Roman" w:hAnsi="Times New Roman" w:cs="Times New Roman"/>
          <w:sz w:val="24"/>
          <w:szCs w:val="24"/>
        </w:rPr>
        <w:t xml:space="preserve">Amputated digits or limbs </w:t>
      </w:r>
    </w:p>
    <w:p w14:paraId="0599A9DB" w14:textId="77777777" w:rsidR="003F0E8F" w:rsidRPr="00AC546F" w:rsidRDefault="003F0E8F" w:rsidP="003F0E8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315DDD1" w14:textId="77777777" w:rsidR="00EB140C" w:rsidRDefault="00EB140C" w:rsidP="00EB140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140C">
        <w:rPr>
          <w:rFonts w:ascii="Times New Roman" w:eastAsia="Times New Roman" w:hAnsi="Times New Roman" w:cs="Times New Roman"/>
          <w:b/>
          <w:sz w:val="24"/>
          <w:szCs w:val="24"/>
        </w:rPr>
        <w:t>Foreign bodies</w:t>
      </w:r>
    </w:p>
    <w:p w14:paraId="28EBA206" w14:textId="77777777" w:rsidR="00355FE7" w:rsidRDefault="00355FE7" w:rsidP="00355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B386D6" w14:textId="77777777" w:rsidR="00355FE7" w:rsidRDefault="00355FE7" w:rsidP="00355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13) Xyphoid processes for overstretching of skin/poste bariatric surgery</w:t>
      </w:r>
    </w:p>
    <w:p w14:paraId="6C48A498" w14:textId="77777777" w:rsidR="00F8164E" w:rsidRDefault="00F8164E" w:rsidP="00F81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DF47F1" w14:textId="77777777" w:rsidR="00E13A09" w:rsidRDefault="007347A6" w:rsidP="00F816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="00F8164E">
        <w:rPr>
          <w:rFonts w:ascii="Times New Roman" w:eastAsia="Times New Roman" w:hAnsi="Times New Roman" w:cs="Times New Roman"/>
          <w:b/>
          <w:sz w:val="24"/>
          <w:szCs w:val="24"/>
        </w:rPr>
        <w:t xml:space="preserve">) Calculi from salivary </w:t>
      </w:r>
      <w:r w:rsidR="00276384">
        <w:rPr>
          <w:rFonts w:ascii="Times New Roman" w:eastAsia="Times New Roman" w:hAnsi="Times New Roman" w:cs="Times New Roman"/>
          <w:b/>
          <w:sz w:val="24"/>
          <w:szCs w:val="24"/>
        </w:rPr>
        <w:t>glands, gallbladder</w:t>
      </w:r>
      <w:r w:rsidR="00E13A09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276384">
        <w:rPr>
          <w:rFonts w:ascii="Times New Roman" w:eastAsia="Times New Roman" w:hAnsi="Times New Roman" w:cs="Times New Roman"/>
          <w:b/>
          <w:sz w:val="24"/>
          <w:szCs w:val="24"/>
        </w:rPr>
        <w:t xml:space="preserve">, etc. </w:t>
      </w:r>
    </w:p>
    <w:p w14:paraId="45D7B19B" w14:textId="77777777" w:rsidR="00F8164E" w:rsidRPr="00276384" w:rsidRDefault="00276384" w:rsidP="00F816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2763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MOST calculi from kidney or bladder are sent for analysis and do not receive an accession number.</w:t>
      </w:r>
    </w:p>
    <w:p w14:paraId="7EC564F7" w14:textId="77777777" w:rsidR="00AC546F" w:rsidRPr="00D7338B" w:rsidRDefault="00AC546F" w:rsidP="00A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BF59E1" w14:textId="77777777" w:rsidR="00AC546F" w:rsidRPr="00AC546F" w:rsidRDefault="00AC546F" w:rsidP="00AC5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E7FA35" w14:textId="77777777" w:rsidR="00F8164E" w:rsidRDefault="00F8164E" w:rsidP="003B678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0676ABA2" w14:textId="77777777" w:rsidR="00F8164E" w:rsidRDefault="00F8164E" w:rsidP="003B678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14:paraId="11A31A4E" w14:textId="77777777" w:rsidR="00092F9F" w:rsidRDefault="00092F9F" w:rsidP="003B6787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Revision History</w:t>
      </w:r>
    </w:p>
    <w:p w14:paraId="3934DB82" w14:textId="77777777" w:rsidR="00E31417" w:rsidRDefault="00E31417" w:rsidP="003B678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tbl>
      <w:tblPr>
        <w:tblW w:w="0" w:type="auto"/>
        <w:tblInd w:w="4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8"/>
        <w:gridCol w:w="1530"/>
        <w:gridCol w:w="5310"/>
      </w:tblGrid>
      <w:tr w:rsidR="00092F9F" w14:paraId="303D7D8E" w14:textId="77777777" w:rsidTr="00092F9F">
        <w:trPr>
          <w:trHeight w:val="288"/>
        </w:trPr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D468" w14:textId="77777777" w:rsidR="00092F9F" w:rsidRDefault="00092F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26CE1" w14:textId="77777777" w:rsidR="00092F9F" w:rsidRDefault="00092F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Changed by</w:t>
            </w:r>
          </w:p>
        </w:tc>
        <w:tc>
          <w:tcPr>
            <w:tcW w:w="5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7B813" w14:textId="77777777" w:rsidR="00092F9F" w:rsidRDefault="00092F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Summary of Changes</w:t>
            </w:r>
          </w:p>
        </w:tc>
      </w:tr>
      <w:tr w:rsidR="00092F9F" w14:paraId="3D90F4DF" w14:textId="77777777" w:rsidTr="00092F9F">
        <w:trPr>
          <w:trHeight w:val="288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68375" w14:textId="77777777" w:rsidR="00092F9F" w:rsidRDefault="007347A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3/8</w:t>
            </w:r>
            <w:r w:rsidR="003B6787">
              <w:rPr>
                <w:rFonts w:ascii="Times New Roman" w:hAnsi="Times New Roman"/>
                <w:b/>
                <w:bCs/>
                <w:sz w:val="24"/>
                <w:szCs w:val="24"/>
              </w:rPr>
              <w:t>/21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DF54D" w14:textId="77777777" w:rsidR="00092F9F" w:rsidRDefault="0085215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Maegan Weighman, Matt Gabbeart, Kelli Farhat</w:t>
            </w: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83D9F" w14:textId="77777777" w:rsidR="00092F9F" w:rsidRDefault="001E5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Updated specimen list.</w:t>
            </w:r>
          </w:p>
        </w:tc>
      </w:tr>
      <w:tr w:rsidR="00092F9F" w14:paraId="3002395F" w14:textId="77777777" w:rsidTr="00092F9F">
        <w:trPr>
          <w:trHeight w:val="60"/>
        </w:trPr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EEF5E" w14:textId="77777777" w:rsidR="00092F9F" w:rsidRDefault="00092F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1D99E" w14:textId="77777777" w:rsidR="00092F9F" w:rsidRDefault="00092F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64E99" w14:textId="77777777" w:rsidR="00092F9F" w:rsidRDefault="00092F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5FB9AB" w14:textId="77777777" w:rsidR="00092F9F" w:rsidRDefault="00092F9F" w:rsidP="003B6787">
      <w:pPr>
        <w:spacing w:line="240" w:lineRule="auto"/>
        <w:rPr>
          <w:rFonts w:ascii="Arial" w:hAnsi="Arial" w:cs="Arial"/>
          <w:b/>
          <w:sz w:val="28"/>
          <w:szCs w:val="24"/>
        </w:rPr>
      </w:pPr>
    </w:p>
    <w:sectPr w:rsidR="00092F9F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7A168" w14:textId="77777777" w:rsidR="00465B3A" w:rsidRDefault="00465B3A" w:rsidP="00C84ED3">
      <w:pPr>
        <w:spacing w:after="0" w:line="240" w:lineRule="auto"/>
      </w:pPr>
      <w:r>
        <w:separator/>
      </w:r>
    </w:p>
  </w:endnote>
  <w:endnote w:type="continuationSeparator" w:id="0">
    <w:p w14:paraId="361937F0" w14:textId="77777777" w:rsidR="00465B3A" w:rsidRDefault="00465B3A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ABE3" w14:textId="77777777" w:rsidR="00465B3A" w:rsidRDefault="00465B3A" w:rsidP="00C84ED3">
      <w:pPr>
        <w:spacing w:after="0" w:line="240" w:lineRule="auto"/>
      </w:pPr>
      <w:r>
        <w:separator/>
      </w:r>
    </w:p>
  </w:footnote>
  <w:footnote w:type="continuationSeparator" w:id="0">
    <w:p w14:paraId="57BE9481" w14:textId="77777777" w:rsidR="00465B3A" w:rsidRDefault="00465B3A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F8F6C" w14:textId="77777777" w:rsidR="00852153" w:rsidRPr="00E53FB1" w:rsidRDefault="00852153" w:rsidP="00E872E3">
    <w:pPr>
      <w:pStyle w:val="Header"/>
      <w:tabs>
        <w:tab w:val="left" w:pos="9360"/>
      </w:tabs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53FB1">
      <w:rPr>
        <w:rFonts w:ascii="Arial" w:hAnsi="Arial" w:cs="Arial"/>
        <w:sz w:val="24"/>
        <w:szCs w:val="24"/>
      </w:rPr>
      <w:fldChar w:fldCharType="begin"/>
    </w:r>
    <w:r w:rsidRPr="00E53FB1">
      <w:rPr>
        <w:rFonts w:ascii="Arial" w:hAnsi="Arial" w:cs="Arial"/>
        <w:sz w:val="24"/>
        <w:szCs w:val="24"/>
      </w:rPr>
      <w:instrText xml:space="preserve"> PAGE  \* Arabic  \* MERGEFORMAT </w:instrText>
    </w:r>
    <w:r w:rsidRPr="00E53FB1">
      <w:rPr>
        <w:rFonts w:ascii="Arial" w:hAnsi="Arial" w:cs="Arial"/>
        <w:sz w:val="24"/>
        <w:szCs w:val="24"/>
      </w:rPr>
      <w:fldChar w:fldCharType="separate"/>
    </w:r>
    <w:r w:rsidR="003B4C12">
      <w:rPr>
        <w:rFonts w:ascii="Arial" w:hAnsi="Arial" w:cs="Arial"/>
        <w:noProof/>
        <w:sz w:val="24"/>
        <w:szCs w:val="24"/>
      </w:rPr>
      <w:t>3</w:t>
    </w:r>
    <w:r w:rsidRPr="00E53FB1">
      <w:rPr>
        <w:rFonts w:ascii="Arial" w:hAnsi="Arial" w:cs="Arial"/>
        <w:sz w:val="24"/>
        <w:szCs w:val="24"/>
      </w:rPr>
      <w:fldChar w:fldCharType="end"/>
    </w:r>
    <w:r w:rsidRPr="00E53FB1">
      <w:rPr>
        <w:rFonts w:ascii="Arial" w:hAnsi="Arial" w:cs="Arial"/>
        <w:sz w:val="24"/>
        <w:szCs w:val="24"/>
      </w:rPr>
      <w:t xml:space="preserve"> of </w:t>
    </w:r>
    <w:r w:rsidRPr="00E53FB1">
      <w:rPr>
        <w:rFonts w:ascii="Arial" w:hAnsi="Arial" w:cs="Arial"/>
        <w:sz w:val="24"/>
        <w:szCs w:val="24"/>
      </w:rPr>
      <w:fldChar w:fldCharType="begin"/>
    </w:r>
    <w:r w:rsidRPr="00E53FB1">
      <w:rPr>
        <w:rFonts w:ascii="Arial" w:hAnsi="Arial" w:cs="Arial"/>
        <w:sz w:val="24"/>
        <w:szCs w:val="24"/>
      </w:rPr>
      <w:instrText xml:space="preserve"> NUMPAGES  \* Arabic  \* MERGEFORMAT </w:instrText>
    </w:r>
    <w:r w:rsidRPr="00E53FB1">
      <w:rPr>
        <w:rFonts w:ascii="Arial" w:hAnsi="Arial" w:cs="Arial"/>
        <w:sz w:val="24"/>
        <w:szCs w:val="24"/>
      </w:rPr>
      <w:fldChar w:fldCharType="separate"/>
    </w:r>
    <w:r w:rsidR="003B4C12">
      <w:rPr>
        <w:rFonts w:ascii="Arial" w:hAnsi="Arial" w:cs="Arial"/>
        <w:noProof/>
        <w:sz w:val="24"/>
        <w:szCs w:val="24"/>
      </w:rPr>
      <w:t>3</w:t>
    </w:r>
    <w:r w:rsidRPr="00E53FB1">
      <w:rPr>
        <w:rFonts w:ascii="Arial" w:hAnsi="Arial" w:cs="Arial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59F3" w14:textId="77777777" w:rsidR="00852153" w:rsidRDefault="0033162A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pict w14:anchorId="3739D2B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64.45pt;margin-top:13.35pt;width:343pt;height:7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" fillcolor="white [3201]" stroked="f" strokeweight=".5pt">
          <v:path arrowok="t"/>
          <v:textbox>
            <w:txbxContent>
              <w:p w14:paraId="73E1692A" w14:textId="77777777" w:rsidR="00852153" w:rsidRDefault="00852153" w:rsidP="00283BF5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b/>
                    <w:sz w:val="26"/>
                    <w:szCs w:val="26"/>
                  </w:rPr>
                  <w:t>DEPARTMENT OF PATHOLOGY</w:t>
                </w:r>
                <w:r w:rsidR="003B4C12">
                  <w:rPr>
                    <w:rFonts w:ascii="Arial" w:hAnsi="Arial" w:cs="Arial"/>
                    <w:b/>
                    <w:sz w:val="26"/>
                    <w:szCs w:val="26"/>
                  </w:rPr>
                  <w:t>-Grossing</w:t>
                </w:r>
              </w:p>
              <w:p w14:paraId="298C5650" w14:textId="77777777" w:rsidR="00852153" w:rsidRPr="007E0606" w:rsidRDefault="00852153" w:rsidP="007D0814">
                <w:pPr>
                  <w:jc w:val="center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Arial" w:hAnsi="Arial" w:cs="Arial"/>
                    <w:sz w:val="26"/>
                    <w:szCs w:val="26"/>
                  </w:rPr>
                  <w:t>Gross Only Specimens</w:t>
                </w:r>
              </w:p>
              <w:p w14:paraId="07D7FDD4" w14:textId="77777777" w:rsidR="00852153" w:rsidRPr="00BE30D9" w:rsidRDefault="00852153" w:rsidP="00840125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Printed copies are not always up-to-date.  See online for current version.</w:t>
                </w:r>
              </w:p>
            </w:txbxContent>
          </v:textbox>
        </v:shape>
      </w:pict>
    </w:r>
    <w:r w:rsidR="00852153">
      <w:tab/>
    </w:r>
    <w:r w:rsidR="00852153">
      <w:tab/>
    </w:r>
  </w:p>
  <w:p w14:paraId="0212851D" w14:textId="77777777" w:rsidR="00852153" w:rsidRDefault="0085215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0560FD9" wp14:editId="40AACF59">
          <wp:simplePos x="0" y="0"/>
          <wp:positionH relativeFrom="column">
            <wp:posOffset>-494665</wp:posOffset>
          </wp:positionH>
          <wp:positionV relativeFrom="paragraph">
            <wp:posOffset>137795</wp:posOffset>
          </wp:positionV>
          <wp:extent cx="1139825" cy="713105"/>
          <wp:effectExtent l="0" t="0" r="317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89681A" w14:textId="77777777" w:rsidR="00852153" w:rsidRDefault="0085215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016B7AA1" w14:textId="77777777" w:rsidR="00852153" w:rsidRDefault="0085215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134C1A0E" w14:textId="77777777" w:rsidR="00852153" w:rsidRDefault="0085215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69903AF7" w14:textId="77777777" w:rsidR="00852153" w:rsidRDefault="0085215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14:paraId="5D32FDB1" w14:textId="77777777" w:rsidR="00852153" w:rsidRPr="00E53FB1" w:rsidRDefault="00852153" w:rsidP="00E53FB1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jc w:val="right"/>
      <w:rPr>
        <w:rFonts w:ascii="Arial" w:hAnsi="Arial" w:cs="Arial"/>
        <w:sz w:val="24"/>
        <w:szCs w:val="24"/>
      </w:rPr>
    </w:pPr>
    <w:r>
      <w:tab/>
    </w:r>
    <w:r>
      <w:tab/>
    </w:r>
    <w:r>
      <w:tab/>
      <w:t xml:space="preserve">                              </w:t>
    </w:r>
    <w:r w:rsidRPr="00E53FB1">
      <w:rPr>
        <w:rFonts w:ascii="Arial" w:hAnsi="Arial" w:cs="Arial"/>
        <w:sz w:val="24"/>
        <w:szCs w:val="24"/>
      </w:rPr>
      <w:fldChar w:fldCharType="begin"/>
    </w:r>
    <w:r w:rsidRPr="00E53FB1">
      <w:rPr>
        <w:rFonts w:ascii="Arial" w:hAnsi="Arial" w:cs="Arial"/>
        <w:sz w:val="24"/>
        <w:szCs w:val="24"/>
      </w:rPr>
      <w:instrText xml:space="preserve"> PAGE  \* Arabic  \* MERGEFORMAT </w:instrText>
    </w:r>
    <w:r w:rsidRPr="00E53FB1">
      <w:rPr>
        <w:rFonts w:ascii="Arial" w:hAnsi="Arial" w:cs="Arial"/>
        <w:sz w:val="24"/>
        <w:szCs w:val="24"/>
      </w:rPr>
      <w:fldChar w:fldCharType="separate"/>
    </w:r>
    <w:r w:rsidR="003B4C12">
      <w:rPr>
        <w:rFonts w:ascii="Arial" w:hAnsi="Arial" w:cs="Arial"/>
        <w:noProof/>
        <w:sz w:val="24"/>
        <w:szCs w:val="24"/>
      </w:rPr>
      <w:t>1</w:t>
    </w:r>
    <w:r w:rsidRPr="00E53FB1">
      <w:rPr>
        <w:rFonts w:ascii="Arial" w:hAnsi="Arial" w:cs="Arial"/>
        <w:sz w:val="24"/>
        <w:szCs w:val="24"/>
      </w:rPr>
      <w:fldChar w:fldCharType="end"/>
    </w:r>
    <w:r w:rsidRPr="00E53FB1">
      <w:rPr>
        <w:rFonts w:ascii="Arial" w:hAnsi="Arial" w:cs="Arial"/>
        <w:sz w:val="24"/>
        <w:szCs w:val="24"/>
      </w:rPr>
      <w:t xml:space="preserve"> of </w:t>
    </w:r>
    <w:r w:rsidRPr="00E53FB1">
      <w:rPr>
        <w:rFonts w:ascii="Arial" w:hAnsi="Arial" w:cs="Arial"/>
        <w:sz w:val="24"/>
        <w:szCs w:val="24"/>
      </w:rPr>
      <w:fldChar w:fldCharType="begin"/>
    </w:r>
    <w:r w:rsidRPr="00E53FB1">
      <w:rPr>
        <w:rFonts w:ascii="Arial" w:hAnsi="Arial" w:cs="Arial"/>
        <w:sz w:val="24"/>
        <w:szCs w:val="24"/>
      </w:rPr>
      <w:instrText xml:space="preserve"> NUMPAGES  \* Arabic  \* MERGEFORMAT </w:instrText>
    </w:r>
    <w:r w:rsidRPr="00E53FB1">
      <w:rPr>
        <w:rFonts w:ascii="Arial" w:hAnsi="Arial" w:cs="Arial"/>
        <w:sz w:val="24"/>
        <w:szCs w:val="24"/>
      </w:rPr>
      <w:fldChar w:fldCharType="separate"/>
    </w:r>
    <w:r w:rsidR="003B4C12">
      <w:rPr>
        <w:rFonts w:ascii="Arial" w:hAnsi="Arial" w:cs="Arial"/>
        <w:noProof/>
        <w:sz w:val="24"/>
        <w:szCs w:val="24"/>
      </w:rPr>
      <w:t>3</w:t>
    </w:r>
    <w:r w:rsidRPr="00E53FB1">
      <w:rPr>
        <w:rFonts w:ascii="Arial" w:hAnsi="Arial" w:cs="Arial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58A0"/>
    <w:multiLevelType w:val="hybridMultilevel"/>
    <w:tmpl w:val="636EE95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9371A7"/>
    <w:multiLevelType w:val="hybridMultilevel"/>
    <w:tmpl w:val="B548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2DDF"/>
    <w:multiLevelType w:val="hybridMultilevel"/>
    <w:tmpl w:val="4E28A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10CDB"/>
    <w:multiLevelType w:val="multilevel"/>
    <w:tmpl w:val="D1925E9C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b w:val="0"/>
        <w:i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C3F6CF3"/>
    <w:multiLevelType w:val="hybridMultilevel"/>
    <w:tmpl w:val="FB327162"/>
    <w:lvl w:ilvl="0" w:tplc="17407202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81D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639"/>
    <w:rsid w:val="00002C29"/>
    <w:rsid w:val="000850CB"/>
    <w:rsid w:val="00092F9F"/>
    <w:rsid w:val="000B3EC7"/>
    <w:rsid w:val="000D4B10"/>
    <w:rsid w:val="000D6344"/>
    <w:rsid w:val="00157213"/>
    <w:rsid w:val="00171E4F"/>
    <w:rsid w:val="001E557D"/>
    <w:rsid w:val="0020488D"/>
    <w:rsid w:val="00276384"/>
    <w:rsid w:val="00283BF5"/>
    <w:rsid w:val="002C3DB8"/>
    <w:rsid w:val="002D0E06"/>
    <w:rsid w:val="00301DAA"/>
    <w:rsid w:val="0031595B"/>
    <w:rsid w:val="00321CC5"/>
    <w:rsid w:val="00322544"/>
    <w:rsid w:val="00324AA7"/>
    <w:rsid w:val="0033162A"/>
    <w:rsid w:val="00336D9B"/>
    <w:rsid w:val="00355FE7"/>
    <w:rsid w:val="003653E5"/>
    <w:rsid w:val="0039392C"/>
    <w:rsid w:val="003B4C12"/>
    <w:rsid w:val="003B6787"/>
    <w:rsid w:val="003C25FB"/>
    <w:rsid w:val="003D1578"/>
    <w:rsid w:val="003F0E8F"/>
    <w:rsid w:val="00446221"/>
    <w:rsid w:val="004561DA"/>
    <w:rsid w:val="00465B3A"/>
    <w:rsid w:val="004A08A0"/>
    <w:rsid w:val="004E1A3B"/>
    <w:rsid w:val="00551728"/>
    <w:rsid w:val="00665E28"/>
    <w:rsid w:val="007347A6"/>
    <w:rsid w:val="007B25FF"/>
    <w:rsid w:val="007D0814"/>
    <w:rsid w:val="007E0606"/>
    <w:rsid w:val="00806A66"/>
    <w:rsid w:val="00811CEE"/>
    <w:rsid w:val="00840125"/>
    <w:rsid w:val="00852153"/>
    <w:rsid w:val="00853819"/>
    <w:rsid w:val="008A43BF"/>
    <w:rsid w:val="008D1B07"/>
    <w:rsid w:val="008D351E"/>
    <w:rsid w:val="00950234"/>
    <w:rsid w:val="00955374"/>
    <w:rsid w:val="0096388F"/>
    <w:rsid w:val="009647B6"/>
    <w:rsid w:val="009F442C"/>
    <w:rsid w:val="009F4ECE"/>
    <w:rsid w:val="009F5470"/>
    <w:rsid w:val="00AC546F"/>
    <w:rsid w:val="00AE367E"/>
    <w:rsid w:val="00B013D3"/>
    <w:rsid w:val="00B50DE6"/>
    <w:rsid w:val="00B612BD"/>
    <w:rsid w:val="00B62B1D"/>
    <w:rsid w:val="00B77F07"/>
    <w:rsid w:val="00B90A51"/>
    <w:rsid w:val="00BA4C99"/>
    <w:rsid w:val="00BA588D"/>
    <w:rsid w:val="00BB5CF5"/>
    <w:rsid w:val="00BE30D9"/>
    <w:rsid w:val="00BF1046"/>
    <w:rsid w:val="00C84ED3"/>
    <w:rsid w:val="00C85427"/>
    <w:rsid w:val="00CF115A"/>
    <w:rsid w:val="00D357D6"/>
    <w:rsid w:val="00D4158B"/>
    <w:rsid w:val="00D7338B"/>
    <w:rsid w:val="00D81746"/>
    <w:rsid w:val="00D86639"/>
    <w:rsid w:val="00DA6CC9"/>
    <w:rsid w:val="00DF0B88"/>
    <w:rsid w:val="00E03C5B"/>
    <w:rsid w:val="00E05C0F"/>
    <w:rsid w:val="00E13A09"/>
    <w:rsid w:val="00E31417"/>
    <w:rsid w:val="00E32F71"/>
    <w:rsid w:val="00E47039"/>
    <w:rsid w:val="00E53FB1"/>
    <w:rsid w:val="00E872E3"/>
    <w:rsid w:val="00E91223"/>
    <w:rsid w:val="00EB140C"/>
    <w:rsid w:val="00ED4620"/>
    <w:rsid w:val="00F23896"/>
    <w:rsid w:val="00F8164E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0332A3"/>
  <w15:docId w15:val="{C1B80687-B56C-497B-A373-9A7F753B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81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53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8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coyja\Desktop\MasterControl\Template\Policy_port_template%204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C48FFD3-3707-4FCE-897F-E285CD51171D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Policy_port_template 4.0.dotx</Template>
  <TotalTime>77</TotalTime>
  <Pages>3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McCoy, Janelle</dc:creator>
  <cp:keywords/>
  <dc:description/>
  <cp:lastModifiedBy>Gabbeart, Matt</cp:lastModifiedBy>
  <cp:revision>15</cp:revision>
  <dcterms:created xsi:type="dcterms:W3CDTF">2020-08-13T15:21:00Z</dcterms:created>
  <dcterms:modified xsi:type="dcterms:W3CDTF">2021-08-11T15:12:00Z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Portrait Policy Template</vt:lpwstr>
  </property>
  <property fmtid="{D5CDD505-2E9C-101B-9397-08002B2CF9AE}" pid="3" name="MC_Number">
    <vt:lpwstr>MC-T-0004</vt:lpwstr>
  </property>
  <property fmtid="{D5CDD505-2E9C-101B-9397-08002B2CF9AE}" pid="4" name="MC_Revision">
    <vt:lpwstr>08</vt:lpwstr>
  </property>
  <property fmtid="{D5CDD505-2E9C-101B-9397-08002B2CF9AE}" pid="5" name="MC_Author">
    <vt:lpwstr>MCCOYJA</vt:lpwstr>
  </property>
  <property fmtid="{D5CDD505-2E9C-101B-9397-08002B2CF9AE}" pid="6" name="MC_Owner">
    <vt:lpwstr>MCCOYJA</vt:lpwstr>
  </property>
  <property fmtid="{D5CDD505-2E9C-101B-9397-08002B2CF9AE}" pid="7" name="MC_Notes">
    <vt:lpwstr/>
  </property>
  <property fmtid="{D5CDD505-2E9C-101B-9397-08002B2CF9AE}" pid="8" name="MC_Vaults">
    <vt:lpwstr> </vt:lpwstr>
  </property>
  <property fmtid="{D5CDD505-2E9C-101B-9397-08002B2CF9AE}" pid="9" name="MC_Status">
    <vt:lpwstr>Release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  <property fmtid="{D5CDD505-2E9C-101B-9397-08002B2CF9AE}" pid="16" name="MC_EffectiveDate">
    <vt:lpwstr>30 May 2019</vt:lpwstr>
  </property>
  <property fmtid="{D5CDD505-2E9C-101B-9397-08002B2CF9AE}" pid="17" name="MC_ReleaseDate">
    <vt:lpwstr>30 May 2019</vt:lpwstr>
  </property>
  <property fmtid="{D5CDD505-2E9C-101B-9397-08002B2CF9AE}" pid="18" name="MC_ExpirationDate">
    <vt:lpwstr/>
  </property>
  <property fmtid="{D5CDD505-2E9C-101B-9397-08002B2CF9AE}" pid="19" name="MC_CreatedDate">
    <vt:lpwstr>18 Sep 2018</vt:lpwstr>
  </property>
  <property fmtid="{D5CDD505-2E9C-101B-9397-08002B2CF9AE}" pid="20" name="MC_NextReviewDate">
    <vt:lpwstr/>
  </property>
  <property fmtid="{D5CDD505-2E9C-101B-9397-08002B2CF9AE}" pid="21" name="MC_Vault">
    <vt:lpwstr>Master Control-rel</vt:lpwstr>
  </property>
</Properties>
</file>